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48E35" w14:textId="574BC941" w:rsidR="00EC3AFC" w:rsidRPr="00EC3AFC" w:rsidRDefault="00EC3AFC" w:rsidP="00EC3AFC">
      <w:pPr>
        <w:spacing w:after="0"/>
        <w:rPr>
          <w:b/>
          <w:bCs/>
          <w:sz w:val="20"/>
          <w:szCs w:val="20"/>
        </w:rPr>
      </w:pPr>
      <w:r w:rsidRPr="00EC3AFC">
        <w:rPr>
          <w:b/>
          <w:bCs/>
          <w:sz w:val="20"/>
          <w:szCs w:val="20"/>
        </w:rPr>
        <w:t xml:space="preserve">WWA-CNNF Partnership Discussion </w:t>
      </w:r>
    </w:p>
    <w:p w14:paraId="373049B7" w14:textId="77777777" w:rsidR="00EC3AFC" w:rsidRPr="00EC3AFC" w:rsidRDefault="00EC3AFC" w:rsidP="00EC3AFC">
      <w:pPr>
        <w:spacing w:after="0"/>
        <w:rPr>
          <w:b/>
          <w:bCs/>
          <w:sz w:val="20"/>
          <w:szCs w:val="20"/>
        </w:rPr>
      </w:pPr>
      <w:r w:rsidRPr="00EC3AFC">
        <w:rPr>
          <w:b/>
          <w:bCs/>
          <w:sz w:val="20"/>
          <w:szCs w:val="20"/>
        </w:rPr>
        <w:t>Wilson Flowage – Chequamegon</w:t>
      </w:r>
      <w:r w:rsidRPr="00EC3AFC">
        <w:rPr>
          <w:b/>
          <w:bCs/>
          <w:sz w:val="20"/>
          <w:szCs w:val="20"/>
        </w:rPr>
        <w:noBreakHyphen/>
        <w:t>Nicolet National Forest (CNNF)</w:t>
      </w:r>
    </w:p>
    <w:p w14:paraId="4274B65F" w14:textId="67DDA0E8" w:rsidR="00EC3AFC" w:rsidRPr="00EC3AFC" w:rsidRDefault="00EC3AFC" w:rsidP="00EC3AFC">
      <w:pPr>
        <w:spacing w:after="0"/>
        <w:rPr>
          <w:b/>
          <w:bCs/>
          <w:sz w:val="20"/>
          <w:szCs w:val="20"/>
        </w:rPr>
      </w:pPr>
      <w:r w:rsidRPr="00EC3AFC">
        <w:rPr>
          <w:b/>
          <w:bCs/>
          <w:sz w:val="20"/>
          <w:szCs w:val="20"/>
        </w:rPr>
        <w:t>May 14</w:t>
      </w:r>
      <w:r w:rsidRPr="00EC3AFC">
        <w:rPr>
          <w:b/>
          <w:bCs/>
          <w:sz w:val="20"/>
          <w:szCs w:val="20"/>
          <w:vertAlign w:val="superscript"/>
        </w:rPr>
        <w:t>th</w:t>
      </w:r>
      <w:r w:rsidRPr="00EC3AFC">
        <w:rPr>
          <w:b/>
          <w:bCs/>
          <w:sz w:val="20"/>
          <w:szCs w:val="20"/>
        </w:rPr>
        <w:t>, 2026.</w:t>
      </w:r>
    </w:p>
    <w:p w14:paraId="1CB491BE" w14:textId="61199006" w:rsidR="00EC3AFC" w:rsidRPr="00EC3AFC" w:rsidRDefault="006E45F5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 xml:space="preserve">Peter </w:t>
      </w:r>
      <w:proofErr w:type="gramStart"/>
      <w:r w:rsidRPr="00EC3AFC">
        <w:rPr>
          <w:b/>
          <w:bCs/>
          <w:sz w:val="20"/>
          <w:szCs w:val="20"/>
        </w:rPr>
        <w:t>Ziegler</w:t>
      </w:r>
      <w:r>
        <w:rPr>
          <w:b/>
          <w:bCs/>
          <w:sz w:val="20"/>
          <w:szCs w:val="20"/>
        </w:rPr>
        <w:t>(</w:t>
      </w:r>
      <w:proofErr w:type="gramEnd"/>
      <w:r>
        <w:rPr>
          <w:b/>
          <w:bCs/>
          <w:sz w:val="20"/>
          <w:szCs w:val="20"/>
        </w:rPr>
        <w:t xml:space="preserve">WWA), </w:t>
      </w:r>
      <w:r w:rsidRPr="00EC3AFC">
        <w:rPr>
          <w:b/>
          <w:bCs/>
          <w:sz w:val="20"/>
          <w:szCs w:val="20"/>
        </w:rPr>
        <w:t xml:space="preserve">Tara </w:t>
      </w:r>
      <w:proofErr w:type="gramStart"/>
      <w:r w:rsidRPr="00EC3AFC">
        <w:rPr>
          <w:b/>
          <w:bCs/>
          <w:sz w:val="20"/>
          <w:szCs w:val="20"/>
        </w:rPr>
        <w:t>Anderson</w:t>
      </w:r>
      <w:r>
        <w:rPr>
          <w:b/>
          <w:bCs/>
          <w:sz w:val="20"/>
          <w:szCs w:val="20"/>
        </w:rPr>
        <w:t>(</w:t>
      </w:r>
      <w:proofErr w:type="gramEnd"/>
      <w:r>
        <w:rPr>
          <w:b/>
          <w:bCs/>
          <w:sz w:val="20"/>
          <w:szCs w:val="20"/>
        </w:rPr>
        <w:t xml:space="preserve">CNNF </w:t>
      </w:r>
      <w:r w:rsidRPr="006E45F5">
        <w:rPr>
          <w:b/>
          <w:bCs/>
          <w:sz w:val="20"/>
          <w:szCs w:val="20"/>
        </w:rPr>
        <w:t xml:space="preserve">Forest </w:t>
      </w:r>
      <w:r>
        <w:rPr>
          <w:b/>
          <w:bCs/>
          <w:sz w:val="20"/>
          <w:szCs w:val="20"/>
        </w:rPr>
        <w:t>B</w:t>
      </w:r>
      <w:r w:rsidRPr="006E45F5">
        <w:rPr>
          <w:b/>
          <w:bCs/>
          <w:sz w:val="20"/>
          <w:szCs w:val="20"/>
        </w:rPr>
        <w:t>iologist</w:t>
      </w:r>
      <w:r>
        <w:rPr>
          <w:b/>
          <w:bCs/>
          <w:sz w:val="20"/>
          <w:szCs w:val="20"/>
        </w:rPr>
        <w:t>)</w:t>
      </w:r>
      <w:r w:rsidRPr="00EC3AFC">
        <w:rPr>
          <w:b/>
          <w:bCs/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Nick Berndt (CNNF </w:t>
      </w:r>
      <w:r w:rsidRPr="006E45F5">
        <w:rPr>
          <w:b/>
          <w:bCs/>
          <w:sz w:val="20"/>
          <w:szCs w:val="20"/>
        </w:rPr>
        <w:t xml:space="preserve">West </w:t>
      </w:r>
      <w:r>
        <w:rPr>
          <w:b/>
          <w:bCs/>
          <w:sz w:val="20"/>
          <w:szCs w:val="20"/>
        </w:rPr>
        <w:t>Z</w:t>
      </w:r>
      <w:r w:rsidRPr="006E45F5">
        <w:rPr>
          <w:b/>
          <w:bCs/>
          <w:sz w:val="20"/>
          <w:szCs w:val="20"/>
        </w:rPr>
        <w:t xml:space="preserve">one </w:t>
      </w:r>
      <w:r>
        <w:rPr>
          <w:b/>
          <w:bCs/>
          <w:sz w:val="20"/>
          <w:szCs w:val="20"/>
        </w:rPr>
        <w:t>F</w:t>
      </w:r>
      <w:r w:rsidRPr="006E45F5">
        <w:rPr>
          <w:b/>
          <w:bCs/>
          <w:sz w:val="20"/>
          <w:szCs w:val="20"/>
        </w:rPr>
        <w:t xml:space="preserve">isheries </w:t>
      </w:r>
      <w:r>
        <w:rPr>
          <w:b/>
          <w:bCs/>
          <w:sz w:val="20"/>
          <w:szCs w:val="20"/>
        </w:rPr>
        <w:t>B</w:t>
      </w:r>
      <w:r w:rsidRPr="006E45F5">
        <w:rPr>
          <w:b/>
          <w:bCs/>
          <w:sz w:val="20"/>
          <w:szCs w:val="20"/>
        </w:rPr>
        <w:t>iologists</w:t>
      </w:r>
      <w:proofErr w:type="gramStart"/>
      <w:r>
        <w:rPr>
          <w:b/>
          <w:bCs/>
          <w:sz w:val="20"/>
          <w:szCs w:val="20"/>
        </w:rPr>
        <w:t xml:space="preserve">,) </w:t>
      </w:r>
      <w:r w:rsidRPr="00EC3AFC">
        <w:rPr>
          <w:b/>
          <w:bCs/>
          <w:sz w:val="20"/>
          <w:szCs w:val="20"/>
        </w:rPr>
        <w:t xml:space="preserve"> </w:t>
      </w:r>
      <w:r w:rsidR="00EC3AFC" w:rsidRPr="00EC3AFC">
        <w:rPr>
          <w:b/>
          <w:bCs/>
          <w:sz w:val="20"/>
          <w:szCs w:val="20"/>
        </w:rPr>
        <w:t>Ken</w:t>
      </w:r>
      <w:proofErr w:type="gramEnd"/>
      <w:r w:rsidR="00EC3AFC" w:rsidRPr="00EC3AFC">
        <w:rPr>
          <w:b/>
          <w:bCs/>
          <w:sz w:val="20"/>
          <w:szCs w:val="20"/>
        </w:rPr>
        <w:t xml:space="preserve"> Pemble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sz w:val="20"/>
          <w:szCs w:val="20"/>
        </w:rPr>
        <w:t>d</w:t>
      </w:r>
      <w:r w:rsidRPr="006E45F5">
        <w:rPr>
          <w:b/>
          <w:bCs/>
          <w:i/>
          <w:sz w:val="20"/>
          <w:szCs w:val="20"/>
        </w:rPr>
        <w:t>ocument author</w:t>
      </w:r>
      <w:r>
        <w:rPr>
          <w:b/>
          <w:bCs/>
          <w:i/>
          <w:sz w:val="20"/>
          <w:szCs w:val="20"/>
        </w:rPr>
        <w:t>-</w:t>
      </w:r>
      <w:r w:rsidR="00C65128">
        <w:rPr>
          <w:b/>
          <w:bCs/>
          <w:sz w:val="20"/>
          <w:szCs w:val="20"/>
        </w:rPr>
        <w:t xml:space="preserve"> (CNNF</w:t>
      </w:r>
      <w:r w:rsidR="00EC384A">
        <w:rPr>
          <w:b/>
          <w:bCs/>
          <w:sz w:val="20"/>
          <w:szCs w:val="20"/>
        </w:rPr>
        <w:t xml:space="preserve"> </w:t>
      </w:r>
      <w:r w:rsidR="00EC384A" w:rsidRPr="00EC384A">
        <w:rPr>
          <w:b/>
          <w:bCs/>
          <w:sz w:val="20"/>
          <w:szCs w:val="20"/>
        </w:rPr>
        <w:t xml:space="preserve">Medford Park Falls </w:t>
      </w:r>
      <w:r w:rsidR="00EC384A">
        <w:rPr>
          <w:b/>
          <w:bCs/>
          <w:sz w:val="20"/>
          <w:szCs w:val="20"/>
        </w:rPr>
        <w:t>D</w:t>
      </w:r>
      <w:r w:rsidR="00EC384A" w:rsidRPr="00EC384A">
        <w:rPr>
          <w:b/>
          <w:bCs/>
          <w:sz w:val="20"/>
          <w:szCs w:val="20"/>
        </w:rPr>
        <w:t xml:space="preserve">istrict </w:t>
      </w:r>
      <w:r w:rsidR="00EC384A">
        <w:rPr>
          <w:b/>
          <w:bCs/>
          <w:sz w:val="20"/>
          <w:szCs w:val="20"/>
        </w:rPr>
        <w:t>B</w:t>
      </w:r>
      <w:r w:rsidR="00EC384A" w:rsidRPr="00EC384A">
        <w:rPr>
          <w:b/>
          <w:bCs/>
          <w:sz w:val="20"/>
          <w:szCs w:val="20"/>
        </w:rPr>
        <w:t>iologist</w:t>
      </w:r>
      <w:r w:rsidR="00C65128">
        <w:rPr>
          <w:b/>
          <w:bCs/>
          <w:sz w:val="20"/>
          <w:szCs w:val="20"/>
        </w:rPr>
        <w:t>)</w:t>
      </w:r>
      <w:r w:rsidR="00EC3AFC" w:rsidRPr="00EC3AFC">
        <w:rPr>
          <w:b/>
          <w:bCs/>
          <w:sz w:val="20"/>
          <w:szCs w:val="20"/>
        </w:rPr>
        <w:t>.</w:t>
      </w:r>
    </w:p>
    <w:p w14:paraId="5288CFBD" w14:textId="77777777" w:rsidR="00EC3AFC" w:rsidRPr="00EC3AFC" w:rsidRDefault="00763D95" w:rsidP="00EC3AFC">
      <w:pPr>
        <w:spacing w:after="0"/>
        <w:rPr>
          <w:sz w:val="20"/>
          <w:szCs w:val="20"/>
        </w:rPr>
      </w:pPr>
      <w:r>
        <w:rPr>
          <w:sz w:val="20"/>
          <w:szCs w:val="20"/>
        </w:rPr>
        <w:pict w14:anchorId="0855A3CF">
          <v:rect id="_x0000_i1025" style="width:0;height:1.5pt" o:hralign="center" o:hrstd="t" o:hr="t" fillcolor="#a0a0a0" stroked="f"/>
        </w:pict>
      </w:r>
    </w:p>
    <w:p w14:paraId="659672D4" w14:textId="77777777" w:rsidR="00EC3AFC" w:rsidRPr="00EC3AFC" w:rsidRDefault="00EC3AFC" w:rsidP="00EC3AFC">
      <w:pPr>
        <w:spacing w:after="0"/>
        <w:rPr>
          <w:b/>
          <w:bCs/>
          <w:sz w:val="20"/>
          <w:szCs w:val="20"/>
        </w:rPr>
      </w:pPr>
      <w:r w:rsidRPr="00EC3AFC">
        <w:rPr>
          <w:b/>
          <w:bCs/>
          <w:sz w:val="20"/>
          <w:szCs w:val="20"/>
        </w:rPr>
        <w:t>1. What We’re Doing Now</w:t>
      </w:r>
    </w:p>
    <w:p w14:paraId="57C021CE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Current collaborative or ongoing work on the Forest</w:t>
      </w:r>
    </w:p>
    <w:p w14:paraId="00DDC02B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Flowage &amp; Impoundment Management</w:t>
      </w:r>
      <w:r w:rsidRPr="00EC3AFC">
        <w:rPr>
          <w:sz w:val="20"/>
          <w:szCs w:val="20"/>
        </w:rPr>
        <w:br/>
        <w:t>Seasonal water</w:t>
      </w:r>
      <w:r w:rsidRPr="00EC3AFC">
        <w:rPr>
          <w:sz w:val="20"/>
          <w:szCs w:val="20"/>
        </w:rPr>
        <w:noBreakHyphen/>
        <w:t>level management, routine structure checks, and targeted prescribed</w:t>
      </w:r>
      <w:r w:rsidRPr="00EC3AFC">
        <w:rPr>
          <w:sz w:val="20"/>
          <w:szCs w:val="20"/>
        </w:rPr>
        <w:noBreakHyphen/>
        <w:t>burn operations (e.g., Wilson Flowage).</w:t>
      </w:r>
    </w:p>
    <w:p w14:paraId="5621ED6A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Wild Rice Coordination</w:t>
      </w:r>
      <w:r w:rsidRPr="00EC3AFC">
        <w:rPr>
          <w:sz w:val="20"/>
          <w:szCs w:val="20"/>
        </w:rPr>
        <w:br/>
        <w:t>Participation in wild rice meetings, tribal/state coordination, and small</w:t>
      </w:r>
      <w:r w:rsidRPr="00EC3AFC">
        <w:rPr>
          <w:sz w:val="20"/>
          <w:szCs w:val="20"/>
        </w:rPr>
        <w:noBreakHyphen/>
        <w:t>scale pilot planting efforts.</w:t>
      </w:r>
    </w:p>
    <w:p w14:paraId="6E9DD366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Habitat Planning &amp; Review</w:t>
      </w:r>
      <w:r w:rsidRPr="00EC3AFC">
        <w:rPr>
          <w:sz w:val="20"/>
          <w:szCs w:val="20"/>
        </w:rPr>
        <w:br/>
        <w:t>Wildlife program involvement in NEPA reviews, habitat guidance, and interdisciplinary project planning. Waterfowl considerations are limited; WRAP projects may provide better opportunities for waterfowl</w:t>
      </w:r>
      <w:r w:rsidRPr="00EC3AFC">
        <w:rPr>
          <w:sz w:val="20"/>
          <w:szCs w:val="20"/>
        </w:rPr>
        <w:noBreakHyphen/>
        <w:t>focused work.</w:t>
      </w:r>
    </w:p>
    <w:p w14:paraId="37C3D7D5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Wood Duck Boxes</w:t>
      </w:r>
      <w:r w:rsidRPr="00EC3AFC">
        <w:rPr>
          <w:sz w:val="20"/>
          <w:szCs w:val="20"/>
        </w:rPr>
        <w:br/>
        <w:t>Implemented through CWKV, program funding, and volunteer partnerships (Boy Scouts, Butternut School, Miller Dam Association, and local conservation organizations).</w:t>
      </w:r>
    </w:p>
    <w:p w14:paraId="6F3BCFE2" w14:textId="77777777" w:rsidR="00EC3AFC" w:rsidRPr="00EC3AFC" w:rsidRDefault="00763D95" w:rsidP="00EC3AFC">
      <w:pPr>
        <w:spacing w:after="0"/>
        <w:rPr>
          <w:sz w:val="20"/>
          <w:szCs w:val="20"/>
        </w:rPr>
      </w:pPr>
      <w:r>
        <w:rPr>
          <w:sz w:val="20"/>
          <w:szCs w:val="20"/>
        </w:rPr>
        <w:pict w14:anchorId="5879F73E">
          <v:rect id="_x0000_i1026" style="width:0;height:1.5pt" o:hralign="center" o:hrstd="t" o:hr="t" fillcolor="#a0a0a0" stroked="f"/>
        </w:pict>
      </w:r>
    </w:p>
    <w:p w14:paraId="64A2F235" w14:textId="77777777" w:rsidR="00EC3AFC" w:rsidRPr="00EC3AFC" w:rsidRDefault="00EC3AFC" w:rsidP="00EC3AFC">
      <w:pPr>
        <w:spacing w:after="0"/>
        <w:rPr>
          <w:b/>
          <w:bCs/>
          <w:sz w:val="20"/>
          <w:szCs w:val="20"/>
        </w:rPr>
      </w:pPr>
      <w:r w:rsidRPr="00EC3AFC">
        <w:rPr>
          <w:b/>
          <w:bCs/>
          <w:sz w:val="20"/>
          <w:szCs w:val="20"/>
        </w:rPr>
        <w:t>2. Strategic Goals</w:t>
      </w:r>
    </w:p>
    <w:p w14:paraId="5A32C4AD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Long</w:t>
      </w:r>
      <w:r w:rsidRPr="00EC3AFC">
        <w:rPr>
          <w:b/>
          <w:bCs/>
          <w:sz w:val="20"/>
          <w:szCs w:val="20"/>
        </w:rPr>
        <w:noBreakHyphen/>
        <w:t>term direction for a WWA–USFS partnership</w:t>
      </w:r>
    </w:p>
    <w:p w14:paraId="68B0107D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Develop a Waterfowl Strategy for the CNNF</w:t>
      </w:r>
      <w:r w:rsidRPr="00EC3AFC">
        <w:rPr>
          <w:sz w:val="20"/>
          <w:szCs w:val="20"/>
        </w:rPr>
        <w:br/>
        <w:t>A multi</w:t>
      </w:r>
      <w:r w:rsidRPr="00EC3AFC">
        <w:rPr>
          <w:sz w:val="20"/>
          <w:szCs w:val="20"/>
        </w:rPr>
        <w:noBreakHyphen/>
        <w:t>year framework identifying priority waterfowl units, habitat objectives, and monitoring needs across the Forest.</w:t>
      </w:r>
    </w:p>
    <w:p w14:paraId="45757DFA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Strengthen Long</w:t>
      </w:r>
      <w:r w:rsidRPr="00EC3AFC">
        <w:rPr>
          <w:b/>
          <w:bCs/>
          <w:sz w:val="20"/>
          <w:szCs w:val="20"/>
        </w:rPr>
        <w:noBreakHyphen/>
        <w:t>Term Impoundment Management</w:t>
      </w:r>
      <w:r w:rsidRPr="00EC3AFC">
        <w:rPr>
          <w:sz w:val="20"/>
          <w:szCs w:val="20"/>
        </w:rPr>
        <w:br/>
        <w:t>Establish consistent drawdown/refill regimes and multi</w:t>
      </w:r>
      <w:r w:rsidRPr="00EC3AFC">
        <w:rPr>
          <w:sz w:val="20"/>
          <w:szCs w:val="20"/>
        </w:rPr>
        <w:noBreakHyphen/>
        <w:t>year objectives for upland and aquatic vegetation, brood habitat, and interspersion.</w:t>
      </w:r>
    </w:p>
    <w:p w14:paraId="476EAF3F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Expand Aquatic Plant Restoration Capacity</w:t>
      </w:r>
      <w:r w:rsidRPr="00EC3AFC">
        <w:rPr>
          <w:sz w:val="20"/>
          <w:szCs w:val="20"/>
        </w:rPr>
        <w:br/>
        <w:t xml:space="preserve">Create a structured program for wild rice, </w:t>
      </w:r>
      <w:proofErr w:type="spellStart"/>
      <w:r w:rsidRPr="00EC3AFC">
        <w:rPr>
          <w:sz w:val="20"/>
          <w:szCs w:val="20"/>
        </w:rPr>
        <w:t>burreed</w:t>
      </w:r>
      <w:proofErr w:type="spellEnd"/>
      <w:r w:rsidRPr="00EC3AFC">
        <w:rPr>
          <w:sz w:val="20"/>
          <w:szCs w:val="20"/>
        </w:rPr>
        <w:t>, wild celery, and other aquatic species—including coordinated seeding, monitoring, and integration with invasive</w:t>
      </w:r>
      <w:r w:rsidRPr="00EC3AFC">
        <w:rPr>
          <w:sz w:val="20"/>
          <w:szCs w:val="20"/>
        </w:rPr>
        <w:noBreakHyphen/>
        <w:t>species management.</w:t>
      </w:r>
    </w:p>
    <w:p w14:paraId="7C45CC0A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Institutionalize Partner</w:t>
      </w:r>
      <w:r w:rsidRPr="00EC3AFC">
        <w:rPr>
          <w:b/>
          <w:bCs/>
          <w:sz w:val="20"/>
          <w:szCs w:val="20"/>
        </w:rPr>
        <w:noBreakHyphen/>
        <w:t>Supported Habitat Work</w:t>
      </w:r>
      <w:r w:rsidRPr="00EC3AFC">
        <w:rPr>
          <w:sz w:val="20"/>
          <w:szCs w:val="20"/>
        </w:rPr>
        <w:br/>
        <w:t xml:space="preserve">Use stewardship and partnership models to support recurring vegetation management, monitoring, and maintenance. Explore partnership structures </w:t>
      </w:r>
      <w:proofErr w:type="gramStart"/>
      <w:r w:rsidRPr="00EC3AFC">
        <w:rPr>
          <w:sz w:val="20"/>
          <w:szCs w:val="20"/>
        </w:rPr>
        <w:t>similar to</w:t>
      </w:r>
      <w:proofErr w:type="gramEnd"/>
      <w:r w:rsidRPr="00EC3AFC">
        <w:rPr>
          <w:sz w:val="20"/>
          <w:szCs w:val="20"/>
        </w:rPr>
        <w:t xml:space="preserve"> ongoing collaborations with NDA.</w:t>
      </w:r>
    </w:p>
    <w:p w14:paraId="1CB198C4" w14:textId="77777777" w:rsidR="00EC3AFC" w:rsidRPr="00EC3AFC" w:rsidRDefault="00763D95" w:rsidP="00EC3AFC">
      <w:pPr>
        <w:spacing w:after="0"/>
        <w:rPr>
          <w:sz w:val="20"/>
          <w:szCs w:val="20"/>
        </w:rPr>
      </w:pPr>
      <w:r>
        <w:rPr>
          <w:sz w:val="20"/>
          <w:szCs w:val="20"/>
        </w:rPr>
        <w:pict w14:anchorId="5A0EE475">
          <v:rect id="_x0000_i1027" style="width:0;height:1.5pt" o:hralign="center" o:hrstd="t" o:hr="t" fillcolor="#a0a0a0" stroked="f"/>
        </w:pict>
      </w:r>
    </w:p>
    <w:p w14:paraId="643E57DD" w14:textId="77777777" w:rsidR="00EC3AFC" w:rsidRPr="00EC3AFC" w:rsidRDefault="00EC3AFC" w:rsidP="00EC3AFC">
      <w:pPr>
        <w:spacing w:after="0"/>
        <w:rPr>
          <w:b/>
          <w:bCs/>
          <w:sz w:val="20"/>
          <w:szCs w:val="20"/>
        </w:rPr>
      </w:pPr>
      <w:r w:rsidRPr="00EC3AFC">
        <w:rPr>
          <w:b/>
          <w:bCs/>
          <w:sz w:val="20"/>
          <w:szCs w:val="20"/>
        </w:rPr>
        <w:t>3. Tactical Goals</w:t>
      </w:r>
    </w:p>
    <w:p w14:paraId="46BDB01F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Immediate, actionable items to initiate with WWA</w:t>
      </w:r>
    </w:p>
    <w:p w14:paraId="761A723F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Artificial Nest Guidance &amp; Deployment</w:t>
      </w:r>
      <w:r w:rsidRPr="00EC3AFC">
        <w:rPr>
          <w:sz w:val="20"/>
          <w:szCs w:val="20"/>
        </w:rPr>
        <w:br/>
        <w:t>Co</w:t>
      </w:r>
      <w:r w:rsidRPr="00EC3AFC">
        <w:rPr>
          <w:sz w:val="20"/>
          <w:szCs w:val="20"/>
        </w:rPr>
        <w:noBreakHyphen/>
        <w:t>develop CNNF</w:t>
      </w:r>
      <w:r w:rsidRPr="00EC3AFC">
        <w:rPr>
          <w:sz w:val="20"/>
          <w:szCs w:val="20"/>
        </w:rPr>
        <w:noBreakHyphen/>
        <w:t>specific guidance for wood duck boxes, nesting platforms, hen houses, floating platforms, and cavity support; establish consistent installation and monitoring standards.</w:t>
      </w:r>
    </w:p>
    <w:p w14:paraId="6F9DC4AF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Impoundment &amp; Habitat Work</w:t>
      </w:r>
      <w:r w:rsidRPr="00EC3AFC">
        <w:rPr>
          <w:sz w:val="20"/>
          <w:szCs w:val="20"/>
        </w:rPr>
        <w:br/>
        <w:t>Conduct joint site assessments, cattail reduction projects, interspersion enhancements, dam maintenance, potential new construction, adjacent habitat treatments, and assistance with seasonal water</w:t>
      </w:r>
      <w:r w:rsidRPr="00EC3AFC">
        <w:rPr>
          <w:sz w:val="20"/>
          <w:szCs w:val="20"/>
        </w:rPr>
        <w:noBreakHyphen/>
        <w:t>level operations.</w:t>
      </w:r>
    </w:p>
    <w:p w14:paraId="128F59B3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Aquatic Planting Projects</w:t>
      </w:r>
      <w:r w:rsidRPr="00EC3AFC">
        <w:rPr>
          <w:sz w:val="20"/>
          <w:szCs w:val="20"/>
        </w:rPr>
        <w:br/>
        <w:t>Identify rice and native vegetation seeding polygons, secure seed sources, support planting events, and establish durable monitoring plots.</w:t>
      </w:r>
    </w:p>
    <w:p w14:paraId="2070DFB4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lastRenderedPageBreak/>
        <w:t>• Pilot Projects Under Partner Agreements</w:t>
      </w:r>
      <w:r w:rsidRPr="00EC3AFC">
        <w:rPr>
          <w:sz w:val="20"/>
          <w:szCs w:val="20"/>
        </w:rPr>
        <w:br/>
        <w:t>Implement small</w:t>
      </w:r>
      <w:r w:rsidRPr="00EC3AFC">
        <w:rPr>
          <w:sz w:val="20"/>
          <w:szCs w:val="20"/>
        </w:rPr>
        <w:noBreakHyphen/>
        <w:t>scale pilot units (rice pockets, vegetation treatments, nest</w:t>
      </w:r>
      <w:r w:rsidRPr="00EC3AFC">
        <w:rPr>
          <w:sz w:val="20"/>
          <w:szCs w:val="20"/>
        </w:rPr>
        <w:noBreakHyphen/>
        <w:t>structure clusters) to refine techniques for broader Forest application.</w:t>
      </w:r>
    </w:p>
    <w:p w14:paraId="2542AE4B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Funding</w:t>
      </w:r>
      <w:r w:rsidRPr="00EC3AFC">
        <w:rPr>
          <w:b/>
          <w:bCs/>
          <w:sz w:val="20"/>
          <w:szCs w:val="20"/>
        </w:rPr>
        <w:noBreakHyphen/>
        <w:t>Ready Project Packages</w:t>
      </w:r>
      <w:r w:rsidRPr="00EC3AFC">
        <w:rPr>
          <w:sz w:val="20"/>
          <w:szCs w:val="20"/>
        </w:rPr>
        <w:br/>
        <w:t>Prepare scoped project proposals with timelines and budgets suitable for CWKV, stewardship agreements, or external funding sources.</w:t>
      </w:r>
    </w:p>
    <w:p w14:paraId="0A254C0A" w14:textId="77777777" w:rsidR="00EC3AFC" w:rsidRPr="00EC3AFC" w:rsidRDefault="00763D95" w:rsidP="00EC3AFC">
      <w:pPr>
        <w:spacing w:after="0"/>
        <w:rPr>
          <w:sz w:val="20"/>
          <w:szCs w:val="20"/>
        </w:rPr>
      </w:pPr>
      <w:r>
        <w:rPr>
          <w:sz w:val="20"/>
          <w:szCs w:val="20"/>
        </w:rPr>
        <w:pict w14:anchorId="085F3BAB">
          <v:rect id="_x0000_i1028" style="width:0;height:1.5pt" o:hralign="center" o:hrstd="t" o:hr="t" fillcolor="#a0a0a0" stroked="f"/>
        </w:pict>
      </w:r>
    </w:p>
    <w:p w14:paraId="53E2D879" w14:textId="77777777" w:rsidR="00EC3AFC" w:rsidRPr="00EC3AFC" w:rsidRDefault="00EC3AFC" w:rsidP="00EC3AFC">
      <w:pPr>
        <w:spacing w:after="0"/>
        <w:rPr>
          <w:b/>
          <w:bCs/>
          <w:sz w:val="20"/>
          <w:szCs w:val="20"/>
        </w:rPr>
      </w:pPr>
      <w:r w:rsidRPr="00EC3AFC">
        <w:rPr>
          <w:b/>
          <w:bCs/>
          <w:sz w:val="20"/>
          <w:szCs w:val="20"/>
        </w:rPr>
        <w:t>4. Funding Opportunities</w:t>
      </w:r>
    </w:p>
    <w:p w14:paraId="409786AE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Sources to support partnership work</w:t>
      </w:r>
    </w:p>
    <w:p w14:paraId="10168A32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CWKV (Cooperative Work – KV Funds)</w:t>
      </w:r>
      <w:r w:rsidRPr="00EC3AFC">
        <w:rPr>
          <w:sz w:val="20"/>
          <w:szCs w:val="20"/>
        </w:rPr>
        <w:br/>
        <w:t>Supports flowage infrastructure, vegetation treatments, and on</w:t>
      </w:r>
      <w:r w:rsidRPr="00EC3AFC">
        <w:rPr>
          <w:sz w:val="20"/>
          <w:szCs w:val="20"/>
        </w:rPr>
        <w:noBreakHyphen/>
        <w:t>the</w:t>
      </w:r>
      <w:r w:rsidRPr="00EC3AFC">
        <w:rPr>
          <w:sz w:val="20"/>
          <w:szCs w:val="20"/>
        </w:rPr>
        <w:noBreakHyphen/>
        <w:t>ground habitat enhancements; projects must occur within timber sale boundaries.</w:t>
      </w:r>
    </w:p>
    <w:p w14:paraId="4BC0507E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Stewardship Agreements</w:t>
      </w:r>
      <w:r w:rsidRPr="00EC3AFC">
        <w:rPr>
          <w:sz w:val="20"/>
          <w:szCs w:val="20"/>
        </w:rPr>
        <w:br/>
        <w:t>Multi</w:t>
      </w:r>
      <w:r w:rsidRPr="00EC3AFC">
        <w:rPr>
          <w:sz w:val="20"/>
          <w:szCs w:val="20"/>
        </w:rPr>
        <w:noBreakHyphen/>
        <w:t>year mechanisms for vegetation work, water</w:t>
      </w:r>
      <w:r w:rsidRPr="00EC3AFC">
        <w:rPr>
          <w:sz w:val="20"/>
          <w:szCs w:val="20"/>
        </w:rPr>
        <w:noBreakHyphen/>
        <w:t>level support tasks, or aquatic plant restoration—</w:t>
      </w:r>
      <w:proofErr w:type="gramStart"/>
      <w:r w:rsidRPr="00EC3AFC">
        <w:rPr>
          <w:sz w:val="20"/>
          <w:szCs w:val="20"/>
        </w:rPr>
        <w:t>similar to</w:t>
      </w:r>
      <w:proofErr w:type="gramEnd"/>
      <w:r w:rsidRPr="00EC3AFC">
        <w:rPr>
          <w:sz w:val="20"/>
          <w:szCs w:val="20"/>
        </w:rPr>
        <w:t xml:space="preserve"> current work with RGS and NDA.</w:t>
      </w:r>
    </w:p>
    <w:p w14:paraId="2BDCD1AF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Grants &amp; Agreements Support</w:t>
      </w:r>
      <w:r w:rsidRPr="00EC3AFC">
        <w:rPr>
          <w:sz w:val="20"/>
          <w:szCs w:val="20"/>
        </w:rPr>
        <w:br/>
        <w:t>Cooperative agreements and cost</w:t>
      </w:r>
      <w:r w:rsidRPr="00EC3AFC">
        <w:rPr>
          <w:sz w:val="20"/>
          <w:szCs w:val="20"/>
        </w:rPr>
        <w:noBreakHyphen/>
        <w:t>share options facilitated through the Forest’s partnerships office.</w:t>
      </w:r>
    </w:p>
    <w:p w14:paraId="5164ED3B" w14:textId="77777777" w:rsidR="00EC3AFC" w:rsidRPr="00EC3AFC" w:rsidRDefault="00EC3AFC" w:rsidP="00EC3AFC">
      <w:pPr>
        <w:spacing w:after="0"/>
        <w:rPr>
          <w:sz w:val="20"/>
          <w:szCs w:val="20"/>
        </w:rPr>
      </w:pPr>
      <w:r w:rsidRPr="00EC3AFC">
        <w:rPr>
          <w:b/>
          <w:bCs/>
          <w:sz w:val="20"/>
          <w:szCs w:val="20"/>
        </w:rPr>
        <w:t>• External Funding Sources</w:t>
      </w:r>
      <w:r w:rsidRPr="00EC3AFC">
        <w:rPr>
          <w:sz w:val="20"/>
          <w:szCs w:val="20"/>
        </w:rPr>
        <w:br/>
        <w:t>• NAWCA (wetlands grants)</w:t>
      </w:r>
      <w:r w:rsidRPr="00EC3AFC">
        <w:rPr>
          <w:sz w:val="20"/>
          <w:szCs w:val="20"/>
        </w:rPr>
        <w:br/>
        <w:t>• Tribal/state partnerships</w:t>
      </w:r>
      <w:r w:rsidRPr="00EC3AFC">
        <w:rPr>
          <w:sz w:val="20"/>
          <w:szCs w:val="20"/>
        </w:rPr>
        <w:br/>
        <w:t>• Wisconsin Waterfowl Stamp</w:t>
      </w:r>
      <w:r w:rsidRPr="00EC3AFC">
        <w:rPr>
          <w:sz w:val="20"/>
          <w:szCs w:val="20"/>
        </w:rPr>
        <w:br/>
        <w:t>• Local conservation organizations (Miller Dam, Taylor County, Flambeau River, DU chapters)</w:t>
      </w:r>
      <w:r w:rsidRPr="00EC3AFC">
        <w:rPr>
          <w:sz w:val="20"/>
          <w:szCs w:val="20"/>
        </w:rPr>
        <w:br/>
        <w:t>• Competitive grants as available</w:t>
      </w:r>
    </w:p>
    <w:p w14:paraId="27EDD54A" w14:textId="77777777" w:rsidR="00EC3AFC" w:rsidRPr="00EC3AFC" w:rsidRDefault="00763D95" w:rsidP="00EC3AFC">
      <w:pPr>
        <w:spacing w:after="0"/>
        <w:rPr>
          <w:sz w:val="20"/>
          <w:szCs w:val="20"/>
        </w:rPr>
      </w:pPr>
      <w:r>
        <w:rPr>
          <w:sz w:val="20"/>
          <w:szCs w:val="20"/>
        </w:rPr>
        <w:pict w14:anchorId="4880B675">
          <v:rect id="_x0000_i1029" style="width:0;height:1.5pt" o:hralign="center" o:hrstd="t" o:hr="t" fillcolor="#a0a0a0" stroked="f"/>
        </w:pict>
      </w:r>
    </w:p>
    <w:p w14:paraId="6A1C3E17" w14:textId="77777777" w:rsidR="00EC3AFC" w:rsidRPr="00EC3AFC" w:rsidRDefault="00EC3AFC" w:rsidP="00EC3AFC">
      <w:pPr>
        <w:spacing w:after="0"/>
        <w:rPr>
          <w:b/>
          <w:bCs/>
          <w:sz w:val="20"/>
          <w:szCs w:val="20"/>
        </w:rPr>
      </w:pPr>
      <w:r w:rsidRPr="00EC3AFC">
        <w:rPr>
          <w:b/>
          <w:bCs/>
          <w:sz w:val="20"/>
          <w:szCs w:val="20"/>
        </w:rPr>
        <w:t>5. Gaps in Current CNNF Waterfowl Management Capabilities</w:t>
      </w:r>
    </w:p>
    <w:p w14:paraId="485CECC6" w14:textId="77777777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Lack of a Forest</w:t>
      </w:r>
      <w:r w:rsidRPr="00EC3AFC">
        <w:rPr>
          <w:sz w:val="20"/>
          <w:szCs w:val="20"/>
        </w:rPr>
        <w:noBreakHyphen/>
        <w:t>level waterfowl strategy; existing planning documents offer broad wildlife guidance without waterfowl</w:t>
      </w:r>
      <w:r w:rsidRPr="00EC3AFC">
        <w:rPr>
          <w:sz w:val="20"/>
          <w:szCs w:val="20"/>
        </w:rPr>
        <w:noBreakHyphen/>
        <w:t>specific objectives.</w:t>
      </w:r>
    </w:p>
    <w:p w14:paraId="2FF44717" w14:textId="77777777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Flowage/impoundment management lacks Forest</w:t>
      </w:r>
      <w:r w:rsidRPr="00EC3AFC">
        <w:rPr>
          <w:sz w:val="20"/>
          <w:szCs w:val="20"/>
        </w:rPr>
        <w:noBreakHyphen/>
        <w:t>wide standards; practices vary project</w:t>
      </w:r>
      <w:r w:rsidRPr="00EC3AFC">
        <w:rPr>
          <w:sz w:val="20"/>
          <w:szCs w:val="20"/>
        </w:rPr>
        <w:noBreakHyphen/>
        <w:t>by</w:t>
      </w:r>
      <w:r w:rsidRPr="00EC3AFC">
        <w:rPr>
          <w:sz w:val="20"/>
          <w:szCs w:val="20"/>
        </w:rPr>
        <w:noBreakHyphen/>
        <w:t>project without unified hydrology or vegetation objectives.</w:t>
      </w:r>
    </w:p>
    <w:p w14:paraId="49580B0E" w14:textId="77777777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Wild rice and aquatic vegetation work remains small</w:t>
      </w:r>
      <w:r w:rsidRPr="00EC3AFC">
        <w:rPr>
          <w:sz w:val="20"/>
          <w:szCs w:val="20"/>
        </w:rPr>
        <w:noBreakHyphen/>
        <w:t>scale and opportunistic, without a coordinated Forest</w:t>
      </w:r>
      <w:r w:rsidRPr="00EC3AFC">
        <w:rPr>
          <w:sz w:val="20"/>
          <w:szCs w:val="20"/>
        </w:rPr>
        <w:noBreakHyphen/>
        <w:t>wide program.</w:t>
      </w:r>
    </w:p>
    <w:p w14:paraId="51ACFFC9" w14:textId="77777777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No standardized guidance for artificial nest structures; current efforts rely on volunteer groups and lack consistency.</w:t>
      </w:r>
    </w:p>
    <w:p w14:paraId="74DDAAD7" w14:textId="77777777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Invasive</w:t>
      </w:r>
      <w:r w:rsidRPr="00EC3AFC">
        <w:rPr>
          <w:sz w:val="20"/>
          <w:szCs w:val="20"/>
        </w:rPr>
        <w:noBreakHyphen/>
        <w:t xml:space="preserve">species control (e.g., </w:t>
      </w:r>
      <w:proofErr w:type="gramStart"/>
      <w:r w:rsidRPr="00EC3AFC">
        <w:rPr>
          <w:sz w:val="20"/>
          <w:szCs w:val="20"/>
        </w:rPr>
        <w:t>narrow</w:t>
      </w:r>
      <w:r w:rsidRPr="00EC3AFC">
        <w:rPr>
          <w:sz w:val="20"/>
          <w:szCs w:val="20"/>
        </w:rPr>
        <w:noBreakHyphen/>
        <w:t>leaf</w:t>
      </w:r>
      <w:proofErr w:type="gramEnd"/>
      <w:r w:rsidRPr="00EC3AFC">
        <w:rPr>
          <w:sz w:val="20"/>
          <w:szCs w:val="20"/>
        </w:rPr>
        <w:t xml:space="preserve"> cattail, milfoil) is not consistently tied to waterfowl habitat outcomes; most NNIS work focuses on uplands.</w:t>
      </w:r>
    </w:p>
    <w:p w14:paraId="76EFFEBA" w14:textId="77777777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Limited waterfowl monitoring capacity—no coordinated brood surveys, interspersion assessments, or aquatic plant success tracking.</w:t>
      </w:r>
    </w:p>
    <w:p w14:paraId="700C12E3" w14:textId="77777777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No formalized waterfowl</w:t>
      </w:r>
      <w:r w:rsidRPr="00EC3AFC">
        <w:rPr>
          <w:sz w:val="20"/>
          <w:szCs w:val="20"/>
        </w:rPr>
        <w:noBreakHyphen/>
        <w:t>focused partner framework; stewardship agreements currently prioritize other species groups.</w:t>
      </w:r>
    </w:p>
    <w:p w14:paraId="1A3D8F45" w14:textId="7A1769B1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 xml:space="preserve">CWKV, stewardship, and other funding tools </w:t>
      </w:r>
      <w:proofErr w:type="gramStart"/>
      <w:r w:rsidRPr="00EC3AFC">
        <w:rPr>
          <w:sz w:val="20"/>
          <w:szCs w:val="20"/>
        </w:rPr>
        <w:t>are under</w:t>
      </w:r>
      <w:r w:rsidRPr="00EC3AFC">
        <w:rPr>
          <w:sz w:val="20"/>
          <w:szCs w:val="20"/>
        </w:rPr>
        <w:noBreakHyphen/>
        <w:t>utilized</w:t>
      </w:r>
      <w:proofErr w:type="gramEnd"/>
      <w:r w:rsidRPr="00EC3AFC">
        <w:rPr>
          <w:sz w:val="20"/>
          <w:szCs w:val="20"/>
        </w:rPr>
        <w:t xml:space="preserve"> for waterfowl habitat improvement.</w:t>
      </w:r>
    </w:p>
    <w:p w14:paraId="46AE06D5" w14:textId="6F3E953F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Beaver management and hydrology planning are not directly linked to waterfowl habitat needs.</w:t>
      </w:r>
    </w:p>
    <w:p w14:paraId="1D48FF22" w14:textId="77777777" w:rsidR="00EC3AFC" w:rsidRP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No Forest</w:t>
      </w:r>
      <w:r w:rsidRPr="00EC3AFC">
        <w:rPr>
          <w:sz w:val="20"/>
          <w:szCs w:val="20"/>
        </w:rPr>
        <w:noBreakHyphen/>
        <w:t>wide map of waterfowl priority areas to guide project planning or investment.</w:t>
      </w:r>
    </w:p>
    <w:p w14:paraId="14708875" w14:textId="77777777" w:rsidR="00EC3AFC" w:rsidRDefault="00EC3AFC" w:rsidP="00EC3AFC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EC3AFC">
        <w:rPr>
          <w:sz w:val="20"/>
          <w:szCs w:val="20"/>
        </w:rPr>
        <w:t>Prescribed fire objectives are not explicitly tied to waterfowl habitat metrics (e.g., post</w:t>
      </w:r>
      <w:r w:rsidRPr="00EC3AFC">
        <w:rPr>
          <w:sz w:val="20"/>
          <w:szCs w:val="20"/>
        </w:rPr>
        <w:noBreakHyphen/>
        <w:t>burn interspersion or brood use).</w:t>
      </w:r>
    </w:p>
    <w:p w14:paraId="29B34E96" w14:textId="34CCBDCA" w:rsidR="00EC384A" w:rsidRDefault="00763D95" w:rsidP="00EC384A">
      <w:pPr>
        <w:spacing w:after="0"/>
        <w:rPr>
          <w:sz w:val="20"/>
          <w:szCs w:val="20"/>
        </w:rPr>
      </w:pPr>
      <w:r>
        <w:rPr>
          <w:sz w:val="20"/>
          <w:szCs w:val="20"/>
        </w:rPr>
        <w:pict w14:anchorId="6DD23874">
          <v:rect id="_x0000_i1030" style="width:0;height:1.5pt" o:hralign="center" o:hrstd="t" o:hr="t" fillcolor="#a0a0a0" stroked="f"/>
        </w:pict>
      </w:r>
    </w:p>
    <w:p w14:paraId="73994B7F" w14:textId="36452169" w:rsidR="00EC384A" w:rsidRPr="00EC384A" w:rsidRDefault="00EC384A" w:rsidP="00EC384A">
      <w:pPr>
        <w:pStyle w:val="ListParagraph"/>
        <w:numPr>
          <w:ilvl w:val="0"/>
          <w:numId w:val="8"/>
        </w:numPr>
        <w:spacing w:after="0"/>
        <w:rPr>
          <w:b/>
          <w:bCs/>
          <w:sz w:val="20"/>
          <w:szCs w:val="20"/>
        </w:rPr>
      </w:pPr>
      <w:r w:rsidRPr="00EC384A">
        <w:rPr>
          <w:b/>
          <w:bCs/>
          <w:sz w:val="20"/>
          <w:szCs w:val="20"/>
        </w:rPr>
        <w:t xml:space="preserve">My (Ken Pemble’s) </w:t>
      </w:r>
      <w:r>
        <w:rPr>
          <w:b/>
          <w:bCs/>
          <w:sz w:val="20"/>
          <w:szCs w:val="20"/>
        </w:rPr>
        <w:t xml:space="preserve">Key </w:t>
      </w:r>
      <w:proofErr w:type="gramStart"/>
      <w:r w:rsidRPr="00EC384A">
        <w:rPr>
          <w:b/>
          <w:bCs/>
          <w:sz w:val="20"/>
          <w:szCs w:val="20"/>
        </w:rPr>
        <w:t>take-aways</w:t>
      </w:r>
      <w:proofErr w:type="gramEnd"/>
      <w:r w:rsidRPr="00EC384A">
        <w:rPr>
          <w:b/>
          <w:bCs/>
          <w:sz w:val="20"/>
          <w:szCs w:val="20"/>
        </w:rPr>
        <w:t xml:space="preserve"> from our meeting</w:t>
      </w:r>
      <w:r>
        <w:rPr>
          <w:b/>
          <w:bCs/>
          <w:sz w:val="20"/>
          <w:szCs w:val="20"/>
        </w:rPr>
        <w:t xml:space="preserve"> </w:t>
      </w:r>
      <w:proofErr w:type="gramStart"/>
      <w:r>
        <w:rPr>
          <w:b/>
          <w:bCs/>
          <w:sz w:val="20"/>
          <w:szCs w:val="20"/>
        </w:rPr>
        <w:t>( Probably</w:t>
      </w:r>
      <w:proofErr w:type="gramEnd"/>
      <w:r>
        <w:rPr>
          <w:b/>
          <w:bCs/>
          <w:sz w:val="20"/>
          <w:szCs w:val="20"/>
        </w:rPr>
        <w:t xml:space="preserve"> missed things, but here’s a start.)</w:t>
      </w:r>
    </w:p>
    <w:p w14:paraId="358BC6AA" w14:textId="3371F901" w:rsidR="00EC384A" w:rsidRP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Plants that might do well when rice doesn’t-- </w:t>
      </w:r>
      <w:r w:rsidRPr="00EC384A">
        <w:rPr>
          <w:sz w:val="20"/>
          <w:szCs w:val="20"/>
        </w:rPr>
        <w:t>Burr Reed, smart</w:t>
      </w:r>
      <w:r>
        <w:rPr>
          <w:sz w:val="20"/>
          <w:szCs w:val="20"/>
        </w:rPr>
        <w:t>weed</w:t>
      </w:r>
      <w:r w:rsidRPr="00EC384A">
        <w:rPr>
          <w:sz w:val="20"/>
          <w:szCs w:val="20"/>
        </w:rPr>
        <w:t>, Arrowhead. May be able to plant celery too.</w:t>
      </w:r>
    </w:p>
    <w:p w14:paraId="766E4542" w14:textId="6046EE78" w:rsid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EC384A">
        <w:rPr>
          <w:sz w:val="20"/>
          <w:szCs w:val="20"/>
        </w:rPr>
        <w:t>Look at doing prolonged drawdowns, starting early June, put water back on in mid-</w:t>
      </w:r>
      <w:proofErr w:type="spellStart"/>
      <w:r w:rsidRPr="00EC384A">
        <w:rPr>
          <w:sz w:val="20"/>
          <w:szCs w:val="20"/>
        </w:rPr>
        <w:t>october</w:t>
      </w:r>
      <w:proofErr w:type="spellEnd"/>
      <w:r w:rsidRPr="00EC384A">
        <w:rPr>
          <w:sz w:val="20"/>
          <w:szCs w:val="20"/>
        </w:rPr>
        <w:t>.</w:t>
      </w:r>
    </w:p>
    <w:p w14:paraId="12C29711" w14:textId="47D83CA5" w:rsid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EC384A">
        <w:rPr>
          <w:sz w:val="20"/>
          <w:szCs w:val="20"/>
        </w:rPr>
        <w:t>Continue to use fire, it is probably not worth it to hand cut Alder near the edge.</w:t>
      </w:r>
    </w:p>
    <w:p w14:paraId="5F934C59" w14:textId="40A08FC3" w:rsid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EC384A">
        <w:rPr>
          <w:sz w:val="20"/>
          <w:szCs w:val="20"/>
        </w:rPr>
        <w:t>Focal species should be mallards and wood ducks.</w:t>
      </w:r>
    </w:p>
    <w:p w14:paraId="305FDA27" w14:textId="3B84D7C4" w:rsid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EC384A">
        <w:rPr>
          <w:sz w:val="20"/>
          <w:szCs w:val="20"/>
        </w:rPr>
        <w:t xml:space="preserve">It may be wise to focus on migratory habitat versus nesting habitat. Some small grass patches may </w:t>
      </w:r>
      <w:proofErr w:type="gramStart"/>
      <w:r w:rsidRPr="00EC384A">
        <w:rPr>
          <w:sz w:val="20"/>
          <w:szCs w:val="20"/>
        </w:rPr>
        <w:t>become sinks</w:t>
      </w:r>
      <w:proofErr w:type="gramEnd"/>
      <w:r w:rsidRPr="00EC384A">
        <w:rPr>
          <w:sz w:val="20"/>
          <w:szCs w:val="20"/>
        </w:rPr>
        <w:t>.</w:t>
      </w:r>
    </w:p>
    <w:p w14:paraId="71DDBE74" w14:textId="5146084E" w:rsid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EC384A">
        <w:rPr>
          <w:sz w:val="20"/>
          <w:szCs w:val="20"/>
        </w:rPr>
        <w:t>Focus on the islands and points more than uplands.</w:t>
      </w:r>
    </w:p>
    <w:p w14:paraId="1C3F895E" w14:textId="77777777" w:rsid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EC384A">
        <w:rPr>
          <w:sz w:val="20"/>
          <w:szCs w:val="20"/>
        </w:rPr>
        <w:t>Continue or expand our wild rice planting efforts.</w:t>
      </w:r>
      <w:r>
        <w:rPr>
          <w:sz w:val="20"/>
          <w:szCs w:val="20"/>
        </w:rPr>
        <w:t xml:space="preserve"> </w:t>
      </w:r>
      <w:r w:rsidRPr="00EC384A">
        <w:rPr>
          <w:sz w:val="20"/>
          <w:szCs w:val="20"/>
        </w:rPr>
        <w:t xml:space="preserve"> Track</w:t>
      </w:r>
      <w:r>
        <w:rPr>
          <w:sz w:val="20"/>
          <w:szCs w:val="20"/>
        </w:rPr>
        <w:t xml:space="preserve"> </w:t>
      </w:r>
      <w:r w:rsidRPr="00EC384A">
        <w:rPr>
          <w:sz w:val="20"/>
          <w:szCs w:val="20"/>
        </w:rPr>
        <w:t>Wildest seed sources.</w:t>
      </w:r>
    </w:p>
    <w:p w14:paraId="3F214F3B" w14:textId="3CCE9127" w:rsid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EC384A">
        <w:rPr>
          <w:sz w:val="20"/>
          <w:szCs w:val="20"/>
        </w:rPr>
        <w:t>Inquire with wildlife services about the ability to add rice surveys to our existing Beaver flight contract.</w:t>
      </w:r>
    </w:p>
    <w:p w14:paraId="563A3F79" w14:textId="4C85ABEC" w:rsid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EC384A">
        <w:rPr>
          <w:sz w:val="20"/>
          <w:szCs w:val="20"/>
        </w:rPr>
        <w:t>Look into consolidating our wild rice efforts across the forest. WWA may be able to help us with this.</w:t>
      </w:r>
    </w:p>
    <w:p w14:paraId="31A0F9EC" w14:textId="5E48AC82" w:rsidR="00EC384A" w:rsidRPr="00EC384A" w:rsidRDefault="00EC384A" w:rsidP="00EC384A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EC384A">
        <w:rPr>
          <w:sz w:val="20"/>
          <w:szCs w:val="20"/>
        </w:rPr>
        <w:t>Consider expanding our wood duck box project</w:t>
      </w:r>
      <w:r>
        <w:rPr>
          <w:sz w:val="20"/>
          <w:szCs w:val="20"/>
        </w:rPr>
        <w:t xml:space="preserve">s. </w:t>
      </w:r>
      <w:r w:rsidRPr="00EC384A">
        <w:rPr>
          <w:sz w:val="20"/>
          <w:szCs w:val="20"/>
        </w:rPr>
        <w:t xml:space="preserve">Look into tracking nest success in a way </w:t>
      </w:r>
      <w:proofErr w:type="gramStart"/>
      <w:r w:rsidRPr="00EC384A">
        <w:rPr>
          <w:sz w:val="20"/>
          <w:szCs w:val="20"/>
        </w:rPr>
        <w:t>similar to</w:t>
      </w:r>
      <w:proofErr w:type="gramEnd"/>
      <w:r w:rsidRPr="00EC384A">
        <w:rPr>
          <w:sz w:val="20"/>
          <w:szCs w:val="20"/>
        </w:rPr>
        <w:t xml:space="preserve"> WW</w:t>
      </w:r>
      <w:r>
        <w:rPr>
          <w:sz w:val="20"/>
          <w:szCs w:val="20"/>
        </w:rPr>
        <w:t>A’s.</w:t>
      </w:r>
    </w:p>
    <w:p w14:paraId="2BA2E918" w14:textId="77777777" w:rsidR="00F449AF" w:rsidRPr="00284CF1" w:rsidRDefault="00F449AF" w:rsidP="00EC3AFC">
      <w:pPr>
        <w:spacing w:after="0"/>
      </w:pPr>
    </w:p>
    <w:sectPr w:rsidR="00F449AF" w:rsidRPr="00284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74E3D"/>
    <w:multiLevelType w:val="multilevel"/>
    <w:tmpl w:val="9BF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57960"/>
    <w:multiLevelType w:val="multilevel"/>
    <w:tmpl w:val="43D2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E3153"/>
    <w:multiLevelType w:val="multilevel"/>
    <w:tmpl w:val="0756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05488"/>
    <w:multiLevelType w:val="hybridMultilevel"/>
    <w:tmpl w:val="CBCCD7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365D8"/>
    <w:multiLevelType w:val="multilevel"/>
    <w:tmpl w:val="BFE0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70277"/>
    <w:multiLevelType w:val="multilevel"/>
    <w:tmpl w:val="59C0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A41938"/>
    <w:multiLevelType w:val="multilevel"/>
    <w:tmpl w:val="8066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77D15"/>
    <w:multiLevelType w:val="multilevel"/>
    <w:tmpl w:val="D690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988172">
    <w:abstractNumId w:val="7"/>
  </w:num>
  <w:num w:numId="2" w16cid:durableId="442962532">
    <w:abstractNumId w:val="5"/>
  </w:num>
  <w:num w:numId="3" w16cid:durableId="1860464771">
    <w:abstractNumId w:val="2"/>
  </w:num>
  <w:num w:numId="4" w16cid:durableId="1431705132">
    <w:abstractNumId w:val="1"/>
  </w:num>
  <w:num w:numId="5" w16cid:durableId="115416141">
    <w:abstractNumId w:val="4"/>
  </w:num>
  <w:num w:numId="6" w16cid:durableId="775903157">
    <w:abstractNumId w:val="0"/>
  </w:num>
  <w:num w:numId="7" w16cid:durableId="1344012786">
    <w:abstractNumId w:val="6"/>
  </w:num>
  <w:num w:numId="8" w16cid:durableId="1494180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F1"/>
    <w:rsid w:val="00180FF3"/>
    <w:rsid w:val="00284CF1"/>
    <w:rsid w:val="00300E4F"/>
    <w:rsid w:val="00433AF3"/>
    <w:rsid w:val="00524CA7"/>
    <w:rsid w:val="0064307F"/>
    <w:rsid w:val="006E45F5"/>
    <w:rsid w:val="007C4BA0"/>
    <w:rsid w:val="00861FCD"/>
    <w:rsid w:val="009D0485"/>
    <w:rsid w:val="00B17D6E"/>
    <w:rsid w:val="00C01947"/>
    <w:rsid w:val="00C65128"/>
    <w:rsid w:val="00D45982"/>
    <w:rsid w:val="00D86E35"/>
    <w:rsid w:val="00D955DE"/>
    <w:rsid w:val="00DF341C"/>
    <w:rsid w:val="00E81460"/>
    <w:rsid w:val="00E85C3C"/>
    <w:rsid w:val="00EC384A"/>
    <w:rsid w:val="00EC3AFC"/>
    <w:rsid w:val="00F165B8"/>
    <w:rsid w:val="00F4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9A38"/>
  <w15:chartTrackingRefBased/>
  <w15:docId w15:val="{3CB53884-5052-4AC4-88E5-16154E1A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C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49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Pemble, Kenneth - FS, WI</dc:creator>
  <cp:keywords/>
  <dc:description/>
  <cp:lastModifiedBy>Kelcy Boettcher</cp:lastModifiedBy>
  <cp:revision>2</cp:revision>
  <cp:lastPrinted>2026-05-14T10:58:00Z</cp:lastPrinted>
  <dcterms:created xsi:type="dcterms:W3CDTF">2026-05-19T18:29:00Z</dcterms:created>
  <dcterms:modified xsi:type="dcterms:W3CDTF">2026-05-19T18:29:00Z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000fd6ee-d29e-45b0-ae6d-760b353538b8</vt:lpwstr>
  </property>
</Properties>
</file>